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A502B" w14:textId="77777777" w:rsidR="00197FE6" w:rsidRPr="00B71F8B" w:rsidRDefault="00197FE6" w:rsidP="00197FE6">
      <w:pPr>
        <w:pStyle w:val="PUCTLine"/>
        <w:widowControl w:val="0"/>
        <w:rPr>
          <w:position w:val="14"/>
        </w:rPr>
      </w:pPr>
      <w:r w:rsidRPr="00B71F8B">
        <w:rPr>
          <w:noProof/>
          <w:position w:val="14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7DF4F23" wp14:editId="4CEBF776">
                <wp:simplePos x="0" y="0"/>
                <wp:positionH relativeFrom="margin">
                  <wp:align>center</wp:align>
                </wp:positionH>
                <wp:positionV relativeFrom="margin">
                  <wp:posOffset>342900</wp:posOffset>
                </wp:positionV>
                <wp:extent cx="3840480" cy="0"/>
                <wp:effectExtent l="0" t="0" r="0" b="0"/>
                <wp:wrapNone/>
                <wp:docPr id="20543879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40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363FF2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" from="0,27pt" to="302.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" strokecolor="black [3200]">
                <v:stroke endcap="round"/>
                <w10:wrap anchorx="margin" anchory="margin"/>
                <w10:anchorlock/>
              </v:line>
            </w:pict>
          </mc:Fallback>
        </mc:AlternateContent>
      </w:r>
      <w:r w:rsidRPr="00B71F8B">
        <w:rPr>
          <w:position w:val="14"/>
        </w:rPr>
        <w:t>Public Utility Commission of Texas</w:t>
      </w:r>
    </w:p>
    <w:p w14:paraId="7662529E" w14:textId="77777777" w:rsidR="00197FE6" w:rsidRPr="00B71F8B" w:rsidRDefault="00197FE6" w:rsidP="00197FE6">
      <w:pPr>
        <w:pStyle w:val="MemoLine"/>
        <w:widowControl w:val="0"/>
        <w:spacing w:after="840"/>
      </w:pPr>
      <w:r w:rsidRPr="00B71F8B">
        <w:t>Memorandum</w:t>
      </w:r>
    </w:p>
    <w:p w14:paraId="35085ECD" w14:textId="235D7E43" w:rsidR="00197FE6" w:rsidRPr="00B71F8B" w:rsidRDefault="00197FE6" w:rsidP="00197FE6">
      <w:pPr>
        <w:pStyle w:val="NoSpacing"/>
        <w:widowControl w:val="0"/>
      </w:pPr>
      <w:r w:rsidRPr="00B71F8B">
        <w:t>TO:</w:t>
      </w:r>
      <w:r w:rsidRPr="00B71F8B">
        <w:tab/>
      </w:r>
      <w:r w:rsidR="009D1CB8" w:rsidRPr="00B71F8B">
        <w:t>Markel Perkins</w:t>
      </w:r>
    </w:p>
    <w:p w14:paraId="1D29AB6D" w14:textId="77777777" w:rsidR="00197FE6" w:rsidRPr="00B71F8B" w:rsidRDefault="00197FE6" w:rsidP="00197FE6">
      <w:pPr>
        <w:pStyle w:val="NoSpacing"/>
        <w:widowControl w:val="0"/>
      </w:pPr>
      <w:r w:rsidRPr="00B71F8B">
        <w:tab/>
        <w:t>Legal Division</w:t>
      </w:r>
    </w:p>
    <w:p w14:paraId="62A23CFA" w14:textId="77777777" w:rsidR="00197FE6" w:rsidRPr="00B71F8B" w:rsidRDefault="00197FE6" w:rsidP="00197FE6">
      <w:pPr>
        <w:pStyle w:val="NoSpacing"/>
        <w:widowControl w:val="0"/>
      </w:pPr>
    </w:p>
    <w:p w14:paraId="050A2E7F" w14:textId="77777777" w:rsidR="00197FE6" w:rsidRPr="00B71F8B" w:rsidRDefault="00197FE6" w:rsidP="00197FE6">
      <w:pPr>
        <w:pStyle w:val="NoSpacing"/>
        <w:widowControl w:val="0"/>
      </w:pPr>
      <w:r w:rsidRPr="00B71F8B">
        <w:t>FROM:</w:t>
      </w:r>
      <w:r w:rsidRPr="00B71F8B">
        <w:tab/>
        <w:t>Ethan Blanchard</w:t>
      </w:r>
    </w:p>
    <w:p w14:paraId="72A67249" w14:textId="77777777" w:rsidR="00197FE6" w:rsidRPr="00B71F8B" w:rsidRDefault="00197FE6" w:rsidP="00197FE6">
      <w:pPr>
        <w:pStyle w:val="NoSpacing"/>
        <w:widowControl w:val="0"/>
      </w:pPr>
      <w:r w:rsidRPr="00B71F8B">
        <w:tab/>
        <w:t>Rate Regulation Division</w:t>
      </w:r>
    </w:p>
    <w:p w14:paraId="767B448A" w14:textId="77777777" w:rsidR="00197FE6" w:rsidRPr="00B71F8B" w:rsidRDefault="00197FE6" w:rsidP="00197FE6">
      <w:pPr>
        <w:pStyle w:val="NoSpacing"/>
        <w:widowControl w:val="0"/>
      </w:pPr>
    </w:p>
    <w:p w14:paraId="7201633B" w14:textId="3D272EF7" w:rsidR="00197FE6" w:rsidRPr="00B71F8B" w:rsidRDefault="00197FE6" w:rsidP="00197FE6">
      <w:pPr>
        <w:pStyle w:val="NoSpacing"/>
        <w:widowControl w:val="0"/>
      </w:pPr>
      <w:r w:rsidRPr="00B71F8B">
        <w:t>DATE:</w:t>
      </w:r>
      <w:r w:rsidRPr="00B71F8B">
        <w:tab/>
      </w:r>
      <w:r w:rsidR="008C3CE8">
        <w:t>June 5</w:t>
      </w:r>
      <w:r w:rsidR="009D1CB8" w:rsidRPr="00B71F8B">
        <w:t>, 2025</w:t>
      </w:r>
    </w:p>
    <w:p w14:paraId="3A48CD70" w14:textId="77777777" w:rsidR="00197FE6" w:rsidRPr="00B71F8B" w:rsidRDefault="00197FE6" w:rsidP="00197FE6">
      <w:pPr>
        <w:pStyle w:val="NoSpacing"/>
        <w:widowControl w:val="0"/>
      </w:pPr>
    </w:p>
    <w:p w14:paraId="15FE1709" w14:textId="553FBFAC" w:rsidR="00197FE6" w:rsidRPr="00B71F8B" w:rsidRDefault="00197FE6" w:rsidP="00197FE6">
      <w:pPr>
        <w:pStyle w:val="DocketStyle"/>
        <w:widowControl w:val="0"/>
      </w:pPr>
      <w:r w:rsidRPr="00B71F8B">
        <w:t>RE:</w:t>
      </w:r>
      <w:r w:rsidRPr="00B71F8B">
        <w:tab/>
        <w:t xml:space="preserve">Docket No. </w:t>
      </w:r>
      <w:r w:rsidR="00284A57" w:rsidRPr="00B71F8B">
        <w:t>5</w:t>
      </w:r>
      <w:r w:rsidR="00B71F8B" w:rsidRPr="00B71F8B">
        <w:t>8004</w:t>
      </w:r>
      <w:r w:rsidRPr="00B71F8B">
        <w:t xml:space="preserve"> – </w:t>
      </w:r>
      <w:r w:rsidRPr="00B71F8B">
        <w:rPr>
          <w:rStyle w:val="DocketStylesStyle"/>
        </w:rPr>
        <w:t xml:space="preserve">Application of </w:t>
      </w:r>
      <w:r w:rsidR="009D1CB8" w:rsidRPr="00B71F8B">
        <w:rPr>
          <w:rStyle w:val="DocketStylesStyle"/>
        </w:rPr>
        <w:t>Rockport Fiber Construction, LLC for a Service Provider Certificate of Operating Authority.</w:t>
      </w:r>
    </w:p>
    <w:p w14:paraId="3D46FE11" w14:textId="57F672DE" w:rsidR="00E50C7E" w:rsidRDefault="001B5452" w:rsidP="00E50C7E">
      <w:r w:rsidRPr="00B71F8B">
        <w:t xml:space="preserve"> </w:t>
      </w:r>
      <w:r w:rsidR="00E50C7E" w:rsidRPr="00B71F8B">
        <w:t xml:space="preserve">On </w:t>
      </w:r>
      <w:r w:rsidR="009D1CB8" w:rsidRPr="00B71F8B">
        <w:t>April 23, 2025</w:t>
      </w:r>
      <w:r w:rsidR="00E50C7E" w:rsidRPr="00B71F8B">
        <w:t xml:space="preserve">, </w:t>
      </w:r>
      <w:r w:rsidR="009D1CB8" w:rsidRPr="00B71F8B">
        <w:t>Rockport Fiber Construction, LLC</w:t>
      </w:r>
      <w:r w:rsidR="00E50C7E" w:rsidRPr="00B71F8B">
        <w:t xml:space="preserve"> (</w:t>
      </w:r>
      <w:r w:rsidR="00B71F8B" w:rsidRPr="00B71F8B">
        <w:t>Rockport</w:t>
      </w:r>
      <w:r w:rsidR="00E50C7E" w:rsidRPr="00B71F8B">
        <w:t xml:space="preserve">) filed an application for a service provider certificate of operating authority (SPCOA). </w:t>
      </w:r>
    </w:p>
    <w:p w14:paraId="675AF91E" w14:textId="290EE163" w:rsidR="00961923" w:rsidRDefault="00182800" w:rsidP="00B96045">
      <w:r>
        <w:t xml:space="preserve">On May 21, 2025, Rockport filed documentation demonstrating proof that the </w:t>
      </w:r>
      <w:r w:rsidR="005B2F64">
        <w:t xml:space="preserve">Rockport has the assets (cash) that appeared on the balance sheet </w:t>
      </w:r>
      <w:r w:rsidR="00D370EF">
        <w:t>in Rockport’s application.</w:t>
      </w:r>
      <w:r w:rsidR="00165A48">
        <w:rPr>
          <w:rStyle w:val="FootnoteReference"/>
        </w:rPr>
        <w:footnoteReference w:id="2"/>
      </w:r>
      <w:r w:rsidR="00D370EF">
        <w:t xml:space="preserve"> </w:t>
      </w:r>
      <w:r w:rsidR="00C05B37">
        <w:t xml:space="preserve">Rockport’s assets are not the same as Rockport’s shareholders’ equity. Shareholders’ equity </w:t>
      </w:r>
      <w:r w:rsidR="00770CF1">
        <w:t xml:space="preserve">is the </w:t>
      </w:r>
      <w:r w:rsidR="009D5547">
        <w:t>difference</w:t>
      </w:r>
      <w:r w:rsidR="00C05B37">
        <w:t xml:space="preserve"> of subtracting liabilities from assets</w:t>
      </w:r>
      <w:r w:rsidR="009D5547">
        <w:t xml:space="preserve">. </w:t>
      </w:r>
      <w:r w:rsidR="0081618F">
        <w:t xml:space="preserve">According to the balance sheet filed in Rockport’s application, </w:t>
      </w:r>
      <w:r w:rsidR="002E1C7E">
        <w:t>Rockport has $15.07 in shareholder’s equity</w:t>
      </w:r>
      <w:r w:rsidR="0025721C">
        <w:t xml:space="preserve"> which is </w:t>
      </w:r>
      <w:r w:rsidR="00614655">
        <w:t>$99,984.93 less than that required by 16 T</w:t>
      </w:r>
      <w:r w:rsidR="00F11051">
        <w:t>exas Administrative Code</w:t>
      </w:r>
      <w:r w:rsidR="0074332B">
        <w:t xml:space="preserve"> (</w:t>
      </w:r>
      <w:r w:rsidR="00F11051">
        <w:t>TAC)</w:t>
      </w:r>
      <w:r w:rsidR="00614655">
        <w:t xml:space="preserve"> </w:t>
      </w:r>
      <w:r w:rsidR="00614655">
        <w:rPr>
          <w:rFonts w:cstheme="minorHAnsi"/>
        </w:rPr>
        <w:t>§</w:t>
      </w:r>
      <w:r w:rsidR="00614655">
        <w:t xml:space="preserve"> 26.111(f)(1) for facilities-based certification.</w:t>
      </w:r>
      <w:r w:rsidR="00165A48">
        <w:rPr>
          <w:rStyle w:val="FootnoteReference"/>
        </w:rPr>
        <w:footnoteReference w:id="3"/>
      </w:r>
      <w:r w:rsidR="00CC77FD">
        <w:t xml:space="preserve"> </w:t>
      </w:r>
    </w:p>
    <w:p w14:paraId="08E3036F" w14:textId="2A9EA276" w:rsidR="006F3510" w:rsidRDefault="00961923" w:rsidP="00B96045">
      <w:r>
        <w:t xml:space="preserve">Consequently, I recommend that the owners of Rockport be required </w:t>
      </w:r>
      <w:r w:rsidR="00FF7882">
        <w:t xml:space="preserve">to </w:t>
      </w:r>
      <w:r w:rsidR="008B1459">
        <w:t xml:space="preserve">supplement their application </w:t>
      </w:r>
      <w:r w:rsidR="00E3066D">
        <w:t xml:space="preserve">to satisfy the requirements of </w:t>
      </w:r>
      <w:r w:rsidR="0074332B">
        <w:t xml:space="preserve">16 TAC </w:t>
      </w:r>
      <w:r w:rsidR="00F11051">
        <w:rPr>
          <w:rFonts w:cstheme="minorHAnsi"/>
        </w:rPr>
        <w:t>§ 26.111(f)(1)</w:t>
      </w:r>
      <w:r w:rsidR="00DD4FD8">
        <w:t xml:space="preserve">. If the owners of Rockport are not willing or capable of </w:t>
      </w:r>
      <w:r w:rsidR="004E4527">
        <w:t xml:space="preserve">complying with this </w:t>
      </w:r>
      <w:r w:rsidR="00F37BB1">
        <w:t>requirement</w:t>
      </w:r>
      <w:r w:rsidR="00DD4FD8">
        <w:t xml:space="preserve">, then I </w:t>
      </w:r>
      <w:r w:rsidR="00CC77FD">
        <w:t>recommend that the application be denied.</w:t>
      </w:r>
    </w:p>
    <w:p w14:paraId="4807E6E5" w14:textId="77777777" w:rsidR="00B96045" w:rsidRPr="00B71F8B" w:rsidRDefault="00B96045" w:rsidP="00B96045"/>
    <w:sectPr w:rsidR="00B96045" w:rsidRPr="00B71F8B" w:rsidSect="008B45A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C4DA1" w14:textId="77777777" w:rsidR="006D6D9C" w:rsidRDefault="006D6D9C" w:rsidP="00AF300B">
      <w:pPr>
        <w:spacing w:after="0" w:line="240" w:lineRule="auto"/>
      </w:pPr>
      <w:r>
        <w:separator/>
      </w:r>
    </w:p>
  </w:endnote>
  <w:endnote w:type="continuationSeparator" w:id="0">
    <w:p w14:paraId="020D818E" w14:textId="77777777" w:rsidR="006D6D9C" w:rsidRDefault="006D6D9C" w:rsidP="00AF300B">
      <w:pPr>
        <w:spacing w:after="0" w:line="240" w:lineRule="auto"/>
      </w:pPr>
      <w:r>
        <w:continuationSeparator/>
      </w:r>
    </w:p>
  </w:endnote>
  <w:endnote w:type="continuationNotice" w:id="1">
    <w:p w14:paraId="56E51F73" w14:textId="77777777" w:rsidR="006D6D9C" w:rsidRDefault="006D6D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E699" w14:textId="77777777" w:rsidR="008B45A7" w:rsidRDefault="008B45A7">
    <w:pPr>
      <w:pStyle w:val="Footer"/>
    </w:pPr>
    <w:r>
      <w:t xml:space="preserve">Page </w:t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B4342" w14:textId="77777777" w:rsidR="006D6D9C" w:rsidRDefault="006D6D9C" w:rsidP="00AF300B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47C0E0DF" w14:textId="77777777" w:rsidR="006D6D9C" w:rsidRDefault="006D6D9C" w:rsidP="00AF300B">
      <w:pPr>
        <w:spacing w:after="0" w:line="240" w:lineRule="auto"/>
        <w:ind w:firstLine="0"/>
      </w:pPr>
      <w:r>
        <w:continuationSeparator/>
      </w:r>
    </w:p>
  </w:footnote>
  <w:footnote w:type="continuationNotice" w:id="1">
    <w:p w14:paraId="3734363A" w14:textId="77777777" w:rsidR="006D6D9C" w:rsidRDefault="006D6D9C" w:rsidP="00AF300B">
      <w:pPr>
        <w:spacing w:after="0" w:line="240" w:lineRule="auto"/>
        <w:ind w:firstLine="0"/>
      </w:pPr>
    </w:p>
  </w:footnote>
  <w:footnote w:id="2">
    <w:p w14:paraId="2C1A8B90" w14:textId="6FD1A505" w:rsidR="00165A48" w:rsidRDefault="00165A48" w:rsidP="001E5CD1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 Amended Application at 26 (May 21, 2025).</w:t>
      </w:r>
    </w:p>
  </w:footnote>
  <w:footnote w:id="3">
    <w:p w14:paraId="5DCD79A1" w14:textId="22556AB5" w:rsidR="00165A48" w:rsidRDefault="00165A48" w:rsidP="001E5CD1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 Application at </w:t>
      </w:r>
      <w:r w:rsidR="00A85F9E">
        <w:t>32</w:t>
      </w:r>
      <w:r w:rsidR="001355E5">
        <w:t xml:space="preserve"> (Apr. 23, 2025).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77113" w14:textId="77777777" w:rsidR="008B45A7" w:rsidRDefault="008B45A7">
    <w:pPr>
      <w:pStyle w:val="Header"/>
    </w:pPr>
    <w:r>
      <w:t xml:space="preserve">Docket No. </w:t>
    </w:r>
    <w:r w:rsidR="00284A57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70A4E"/>
    <w:multiLevelType w:val="hybridMultilevel"/>
    <w:tmpl w:val="26DAD2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1B0D43"/>
    <w:multiLevelType w:val="hybridMultilevel"/>
    <w:tmpl w:val="F35C982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9425E0"/>
    <w:multiLevelType w:val="hybridMultilevel"/>
    <w:tmpl w:val="4FDC08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DC84196"/>
    <w:multiLevelType w:val="hybridMultilevel"/>
    <w:tmpl w:val="D786F18E"/>
    <w:lvl w:ilvl="0" w:tplc="8DBCF24E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747646">
    <w:abstractNumId w:val="0"/>
  </w:num>
  <w:num w:numId="2" w16cid:durableId="562524744">
    <w:abstractNumId w:val="3"/>
  </w:num>
  <w:num w:numId="3" w16cid:durableId="1106268699">
    <w:abstractNumId w:val="1"/>
  </w:num>
  <w:num w:numId="4" w16cid:durableId="1197042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D0"/>
    <w:rsid w:val="0003009F"/>
    <w:rsid w:val="000575A9"/>
    <w:rsid w:val="00093B48"/>
    <w:rsid w:val="00095CCE"/>
    <w:rsid w:val="000E1483"/>
    <w:rsid w:val="000E2E52"/>
    <w:rsid w:val="00120D03"/>
    <w:rsid w:val="001355E5"/>
    <w:rsid w:val="00145364"/>
    <w:rsid w:val="00165A48"/>
    <w:rsid w:val="00182800"/>
    <w:rsid w:val="00197FE6"/>
    <w:rsid w:val="001B5452"/>
    <w:rsid w:val="001D0B2F"/>
    <w:rsid w:val="001E5CD1"/>
    <w:rsid w:val="002146AE"/>
    <w:rsid w:val="0025721C"/>
    <w:rsid w:val="00263EAA"/>
    <w:rsid w:val="00273394"/>
    <w:rsid w:val="00284A57"/>
    <w:rsid w:val="002E1C7E"/>
    <w:rsid w:val="003A76A1"/>
    <w:rsid w:val="003B0EBF"/>
    <w:rsid w:val="003D4CA1"/>
    <w:rsid w:val="004637BE"/>
    <w:rsid w:val="004E4527"/>
    <w:rsid w:val="004F5972"/>
    <w:rsid w:val="00531B00"/>
    <w:rsid w:val="00535A83"/>
    <w:rsid w:val="005601BA"/>
    <w:rsid w:val="00596489"/>
    <w:rsid w:val="005A7034"/>
    <w:rsid w:val="005B22CA"/>
    <w:rsid w:val="005B2F64"/>
    <w:rsid w:val="005D0FF4"/>
    <w:rsid w:val="005E62CB"/>
    <w:rsid w:val="005F19C5"/>
    <w:rsid w:val="00614655"/>
    <w:rsid w:val="00663DF9"/>
    <w:rsid w:val="00691AD0"/>
    <w:rsid w:val="006D6D9C"/>
    <w:rsid w:val="006F3510"/>
    <w:rsid w:val="007054BE"/>
    <w:rsid w:val="00726F92"/>
    <w:rsid w:val="0074332B"/>
    <w:rsid w:val="00770CF1"/>
    <w:rsid w:val="007779AA"/>
    <w:rsid w:val="0079686C"/>
    <w:rsid w:val="007B4487"/>
    <w:rsid w:val="008000BF"/>
    <w:rsid w:val="0081618F"/>
    <w:rsid w:val="00880522"/>
    <w:rsid w:val="008B1459"/>
    <w:rsid w:val="008B45A7"/>
    <w:rsid w:val="008C3CE8"/>
    <w:rsid w:val="008D6E63"/>
    <w:rsid w:val="008E2F51"/>
    <w:rsid w:val="00961923"/>
    <w:rsid w:val="009A75DB"/>
    <w:rsid w:val="009D1CB8"/>
    <w:rsid w:val="009D5547"/>
    <w:rsid w:val="00A04188"/>
    <w:rsid w:val="00A05A9C"/>
    <w:rsid w:val="00A554A3"/>
    <w:rsid w:val="00A82B16"/>
    <w:rsid w:val="00A85F9E"/>
    <w:rsid w:val="00AB0C18"/>
    <w:rsid w:val="00AD0076"/>
    <w:rsid w:val="00AD1CE6"/>
    <w:rsid w:val="00AF300B"/>
    <w:rsid w:val="00AF6AF5"/>
    <w:rsid w:val="00B04D79"/>
    <w:rsid w:val="00B670A3"/>
    <w:rsid w:val="00B71F8B"/>
    <w:rsid w:val="00B82271"/>
    <w:rsid w:val="00B96045"/>
    <w:rsid w:val="00BC0855"/>
    <w:rsid w:val="00BC7A8B"/>
    <w:rsid w:val="00BD0BAA"/>
    <w:rsid w:val="00C05B37"/>
    <w:rsid w:val="00C332A4"/>
    <w:rsid w:val="00C8472D"/>
    <w:rsid w:val="00CB7C0B"/>
    <w:rsid w:val="00CC77FD"/>
    <w:rsid w:val="00CD536C"/>
    <w:rsid w:val="00D13F72"/>
    <w:rsid w:val="00D370EF"/>
    <w:rsid w:val="00DA31B0"/>
    <w:rsid w:val="00DC46DD"/>
    <w:rsid w:val="00DC5D45"/>
    <w:rsid w:val="00DD4FD8"/>
    <w:rsid w:val="00DF1624"/>
    <w:rsid w:val="00E07C1A"/>
    <w:rsid w:val="00E3066D"/>
    <w:rsid w:val="00E50C7E"/>
    <w:rsid w:val="00F11051"/>
    <w:rsid w:val="00F37BB1"/>
    <w:rsid w:val="00F84639"/>
    <w:rsid w:val="00F85868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B0A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qFormat="1"/>
    <w:lsdException w:name="footer" w:semiHidden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semiHidden="1" w:uiPriority="31"/>
    <w:lsdException w:name="Intense Reference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1B5452"/>
    <w:pPr>
      <w:widowControl w:val="0"/>
      <w:spacing w:after="120" w:line="360" w:lineRule="auto"/>
      <w:ind w:firstLine="720"/>
      <w:jc w:val="both"/>
    </w:pPr>
  </w:style>
  <w:style w:type="paragraph" w:styleId="Heading1">
    <w:name w:val="heading 1"/>
    <w:basedOn w:val="Normal"/>
    <w:next w:val="Normal"/>
    <w:link w:val="Heading1Char"/>
    <w:uiPriority w:val="2"/>
    <w:qFormat/>
    <w:rsid w:val="005A7034"/>
    <w:pPr>
      <w:keepNext/>
      <w:keepLines/>
      <w:ind w:firstLine="0"/>
      <w:outlineLvl w:val="0"/>
    </w:pPr>
    <w:rPr>
      <w:rFonts w:eastAsiaTheme="majorEastAsia" w:cstheme="majorBidi"/>
      <w:b/>
      <w:bCs/>
      <w:i/>
      <w:iCs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C332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5F00BF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263EAA"/>
    <w:pPr>
      <w:keepNext/>
      <w:keepLines/>
      <w:spacing w:before="160" w:after="80"/>
      <w:outlineLvl w:val="2"/>
    </w:pPr>
    <w:rPr>
      <w:rFonts w:eastAsiaTheme="majorEastAsia" w:cstheme="majorBidi"/>
      <w:color w:val="5F00BF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263E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F00BF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263EAA"/>
    <w:pPr>
      <w:keepNext/>
      <w:keepLines/>
      <w:spacing w:before="80" w:after="40"/>
      <w:outlineLvl w:val="4"/>
    </w:pPr>
    <w:rPr>
      <w:rFonts w:eastAsiaTheme="majorEastAsia" w:cstheme="majorBidi"/>
      <w:color w:val="5F00BF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263E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263E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263E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263E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CTLine">
    <w:name w:val="PUCT Line"/>
    <w:next w:val="MemoLine"/>
    <w:uiPriority w:val="5"/>
    <w:qFormat/>
    <w:rsid w:val="00263EAA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3EAA"/>
    <w:rPr>
      <w:rFonts w:eastAsiaTheme="majorEastAsia" w:cstheme="majorBidi"/>
      <w:color w:val="5F00BF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3EAA"/>
    <w:rPr>
      <w:rFonts w:eastAsiaTheme="majorEastAsia" w:cstheme="majorBidi"/>
      <w:i/>
      <w:iCs/>
      <w:color w:val="5F00BF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3EAA"/>
    <w:rPr>
      <w:rFonts w:eastAsiaTheme="majorEastAsia" w:cstheme="majorBidi"/>
      <w:color w:val="5F00BF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3E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3E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3E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3EAA"/>
    <w:rPr>
      <w:rFonts w:eastAsiaTheme="majorEastAsia" w:cstheme="majorBidi"/>
      <w:color w:val="272727" w:themeColor="text1" w:themeTint="D8"/>
    </w:rPr>
  </w:style>
  <w:style w:type="character" w:customStyle="1" w:styleId="Heading1Char">
    <w:name w:val="Heading 1 Char"/>
    <w:basedOn w:val="DefaultParagraphFont"/>
    <w:link w:val="Heading1"/>
    <w:uiPriority w:val="2"/>
    <w:rsid w:val="001B5452"/>
    <w:rPr>
      <w:rFonts w:eastAsiaTheme="majorEastAsia" w:cstheme="majorBidi"/>
      <w:b/>
      <w:bCs/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2A4"/>
    <w:rPr>
      <w:rFonts w:asciiTheme="majorHAnsi" w:eastAsiaTheme="majorEastAsia" w:hAnsiTheme="majorHAnsi" w:cstheme="majorBidi"/>
      <w:color w:val="5F00BF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semiHidden/>
    <w:rsid w:val="00C332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C332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C332A4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C332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1B5452"/>
    <w:pPr>
      <w:numPr>
        <w:numId w:val="2"/>
      </w:numPr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rsid w:val="00C332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C332A4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C332A4"/>
    <w:pPr>
      <w:pBdr>
        <w:top w:val="single" w:sz="4" w:space="10" w:color="5F00BF" w:themeColor="accent1" w:themeShade="BF"/>
        <w:bottom w:val="single" w:sz="4" w:space="10" w:color="5F00BF" w:themeColor="accent1" w:themeShade="BF"/>
      </w:pBdr>
      <w:spacing w:before="360" w:after="360"/>
      <w:ind w:left="864" w:right="864"/>
      <w:jc w:val="center"/>
    </w:pPr>
    <w:rPr>
      <w:i/>
      <w:iCs/>
      <w:color w:val="5F00BF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C332A4"/>
    <w:rPr>
      <w:i/>
      <w:iCs/>
      <w:color w:val="5F00BF" w:themeColor="accent1" w:themeShade="BF"/>
    </w:rPr>
  </w:style>
  <w:style w:type="character" w:styleId="IntenseEmphasis">
    <w:name w:val="Intense Emphasis"/>
    <w:basedOn w:val="DefaultParagraphFont"/>
    <w:uiPriority w:val="21"/>
    <w:semiHidden/>
    <w:rsid w:val="00C332A4"/>
    <w:rPr>
      <w:i/>
      <w:iCs/>
      <w:color w:val="5F00BF" w:themeColor="accent1" w:themeShade="BF"/>
    </w:rPr>
  </w:style>
  <w:style w:type="character" w:styleId="IntenseReference">
    <w:name w:val="Intense Reference"/>
    <w:basedOn w:val="DefaultParagraphFont"/>
    <w:uiPriority w:val="32"/>
    <w:semiHidden/>
    <w:rsid w:val="00C332A4"/>
    <w:rPr>
      <w:b/>
      <w:bCs/>
      <w:smallCaps/>
      <w:color w:val="5F00BF" w:themeColor="accent1" w:themeShade="BF"/>
      <w:spacing w:val="5"/>
    </w:rPr>
  </w:style>
  <w:style w:type="paragraph" w:customStyle="1" w:styleId="MemoLine">
    <w:name w:val="Memo Line"/>
    <w:next w:val="NoSpacing"/>
    <w:uiPriority w:val="4"/>
    <w:qFormat/>
    <w:rsid w:val="00263EAA"/>
    <w:pPr>
      <w:spacing w:before="120" w:after="960" w:line="240" w:lineRule="auto"/>
      <w:jc w:val="center"/>
    </w:pPr>
    <w:rPr>
      <w:b/>
      <w:bCs/>
      <w:sz w:val="40"/>
      <w:szCs w:val="40"/>
    </w:rPr>
  </w:style>
  <w:style w:type="paragraph" w:customStyle="1" w:styleId="DocketStyle">
    <w:name w:val="Docket Style"/>
    <w:basedOn w:val="NoSpacing"/>
    <w:next w:val="Normal"/>
    <w:uiPriority w:val="4"/>
    <w:qFormat/>
    <w:rsid w:val="00263EAA"/>
    <w:pPr>
      <w:pBdr>
        <w:bottom w:val="single" w:sz="12" w:space="6" w:color="auto"/>
      </w:pBdr>
      <w:spacing w:after="240"/>
    </w:pPr>
  </w:style>
  <w:style w:type="paragraph" w:styleId="NoSpacing">
    <w:name w:val="No Spacing"/>
    <w:uiPriority w:val="3"/>
    <w:qFormat/>
    <w:rsid w:val="00263EAA"/>
    <w:pPr>
      <w:spacing w:after="0" w:line="240" w:lineRule="auto"/>
      <w:ind w:left="1440" w:hanging="1440"/>
      <w:jc w:val="both"/>
    </w:pPr>
  </w:style>
  <w:style w:type="paragraph" w:customStyle="1" w:styleId="BlockQuote">
    <w:name w:val="Block Quote"/>
    <w:next w:val="Normal"/>
    <w:uiPriority w:val="1"/>
    <w:qFormat/>
    <w:rsid w:val="00263EAA"/>
    <w:pPr>
      <w:spacing w:after="240" w:line="240" w:lineRule="auto"/>
      <w:ind w:left="1440" w:right="1440"/>
      <w:jc w:val="both"/>
    </w:pPr>
  </w:style>
  <w:style w:type="paragraph" w:styleId="FootnoteText">
    <w:name w:val="footnote text"/>
    <w:basedOn w:val="Normal"/>
    <w:link w:val="FootnoteTextChar"/>
    <w:uiPriority w:val="99"/>
    <w:semiHidden/>
    <w:rsid w:val="00C332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5452"/>
    <w:rPr>
      <w:sz w:val="20"/>
      <w:szCs w:val="20"/>
    </w:rPr>
  </w:style>
  <w:style w:type="paragraph" w:styleId="Header">
    <w:name w:val="header"/>
    <w:link w:val="HeaderChar"/>
    <w:uiPriority w:val="99"/>
    <w:semiHidden/>
    <w:rsid w:val="00C332A4"/>
    <w:pPr>
      <w:tabs>
        <w:tab w:val="center" w:pos="4680"/>
        <w:tab w:val="right" w:pos="9360"/>
      </w:tabs>
      <w:spacing w:after="0" w:line="240" w:lineRule="auto"/>
      <w:jc w:val="right"/>
    </w:pPr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5452"/>
    <w:rPr>
      <w:b/>
      <w:bCs/>
      <w:sz w:val="20"/>
      <w:szCs w:val="20"/>
    </w:rPr>
  </w:style>
  <w:style w:type="paragraph" w:styleId="Footer">
    <w:name w:val="footer"/>
    <w:link w:val="FooterChar"/>
    <w:uiPriority w:val="99"/>
    <w:semiHidden/>
    <w:rsid w:val="00C332A4"/>
    <w:pPr>
      <w:tabs>
        <w:tab w:val="center" w:pos="4680"/>
        <w:tab w:val="right" w:pos="9360"/>
      </w:tabs>
      <w:spacing w:after="0" w:line="240" w:lineRule="auto"/>
      <w:jc w:val="right"/>
    </w:pPr>
    <w:rPr>
      <w:b/>
      <w:bCs/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5452"/>
    <w:rPr>
      <w:b/>
      <w:bCs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332A4"/>
    <w:rPr>
      <w:vertAlign w:val="superscript"/>
    </w:rPr>
  </w:style>
  <w:style w:type="character" w:customStyle="1" w:styleId="DocketStylesStyle">
    <w:name w:val="Docket Style's Style"/>
    <w:uiPriority w:val="4"/>
    <w:unhideWhenUsed/>
    <w:rsid w:val="00C332A4"/>
    <w:rPr>
      <w:rFonts w:asciiTheme="minorHAnsi" w:hAnsiTheme="minorHAnsi"/>
      <w:i/>
      <w:iCs/>
      <w:sz w:val="24"/>
    </w:rPr>
  </w:style>
  <w:style w:type="paragraph" w:styleId="Revision">
    <w:name w:val="Revision"/>
    <w:hidden/>
    <w:uiPriority w:val="99"/>
    <w:semiHidden/>
    <w:rsid w:val="00DC46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lanchard 10">
  <a:themeElements>
    <a:clrScheme name="Blanchard 10">
      <a:dk1>
        <a:sysClr val="windowText" lastClr="000000"/>
      </a:dk1>
      <a:lt1>
        <a:sysClr val="window" lastClr="FFFFFF"/>
      </a:lt1>
      <a:dk2>
        <a:srgbClr val="6C5436"/>
      </a:dk2>
      <a:lt2>
        <a:srgbClr val="FF00FF"/>
      </a:lt2>
      <a:accent1>
        <a:srgbClr val="8000FF"/>
      </a:accent1>
      <a:accent2>
        <a:srgbClr val="0000FF"/>
      </a:accent2>
      <a:accent3>
        <a:srgbClr val="468C1E"/>
      </a:accent3>
      <a:accent4>
        <a:srgbClr val="FFFF00"/>
      </a:accent4>
      <a:accent5>
        <a:srgbClr val="FF8000"/>
      </a:accent5>
      <a:accent6>
        <a:srgbClr val="FF0000"/>
      </a:accent6>
      <a:hlink>
        <a:srgbClr val="0563C1"/>
      </a:hlink>
      <a:folHlink>
        <a:srgbClr val="954F72"/>
      </a:folHlink>
    </a:clrScheme>
    <a:fontScheme name="Blanchard">
      <a:majorFont>
        <a:latin typeface="Century Gothic"/>
        <a:ea typeface=""/>
        <a:cs typeface=""/>
      </a:majorFont>
      <a:minorFont>
        <a:latin typeface="Times New Roman"/>
        <a:ea typeface=""/>
        <a:cs typeface="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9F432-D2A7-49F5-9671-D7D87A57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2025-06-05T15:02:00Z</dcterms:created>
  <dcterms:modified xsi:type="dcterms:W3CDTF">2025-06-05T16:02:00Z</dcterms:modified>
</cp:coreProperties>
</file>